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*******公司（公司名称）</w:t>
      </w:r>
    </w:p>
    <w:p>
      <w:pPr>
        <w:jc w:val="left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  <w:t>统一社会信用代码证号（所在国商事登记证号）：</w:t>
      </w: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联系人：</w:t>
      </w: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联系电话：</w:t>
      </w: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电子邮箱：</w:t>
      </w: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拟入库供应商库类别：</w:t>
      </w: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拟参加采购项目：</w:t>
      </w: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0"/>
          <w:lang w:val="en-US" w:eastAsia="zh-CN"/>
        </w:rPr>
        <w:t>目录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0"/>
          <w:lang w:val="en-US" w:eastAsia="zh-CN"/>
        </w:rPr>
      </w:pPr>
    </w:p>
    <w:p>
      <w:pPr>
        <w:pStyle w:val="1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TOC \o "1-3" \t "" \h \z \u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_Toc32547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黑体" w:hAnsi="黑体" w:eastAsia="黑体" w:cs="宋体"/>
          <w:szCs w:val="15"/>
          <w:lang w:val="en-US" w:eastAsia="zh-CN"/>
        </w:rPr>
        <w:t xml:space="preserve">1 </w:t>
      </w:r>
      <w:r>
        <w:rPr>
          <w:rFonts w:hint="eastAsia"/>
          <w:szCs w:val="15"/>
          <w:lang w:val="en-US" w:eastAsia="zh-CN"/>
        </w:rPr>
        <w:t>供应商招募响应表</w:t>
      </w:r>
      <w:r>
        <w:tab/>
      </w:r>
      <w:r>
        <w:fldChar w:fldCharType="begin"/>
      </w:r>
      <w:r>
        <w:instrText xml:space="preserve"> PAGEREF _Toc32547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_Toc412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黑体" w:hAnsi="黑体" w:eastAsia="黑体" w:cs="宋体"/>
          <w:szCs w:val="15"/>
          <w:lang w:val="en-US" w:eastAsia="zh-CN"/>
        </w:rPr>
        <w:t xml:space="preserve">2 </w:t>
      </w:r>
      <w:r>
        <w:rPr>
          <w:rFonts w:hint="eastAsia"/>
          <w:szCs w:val="15"/>
          <w:lang w:val="en-US" w:eastAsia="zh-CN"/>
        </w:rPr>
        <w:t>营业执照（或所在国商事登记证）</w:t>
      </w:r>
      <w:r>
        <w:tab/>
      </w:r>
      <w:r>
        <w:fldChar w:fldCharType="begin"/>
      </w:r>
      <w:r>
        <w:instrText xml:space="preserve"> PAGEREF _Toc412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_Toc24167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黑体" w:hAnsi="黑体" w:eastAsia="黑体" w:cs="宋体"/>
          <w:szCs w:val="15"/>
          <w:lang w:val="en-US" w:eastAsia="zh-CN"/>
        </w:rPr>
        <w:t xml:space="preserve">3 </w:t>
      </w:r>
      <w:r>
        <w:rPr>
          <w:rFonts w:hint="eastAsia"/>
          <w:szCs w:val="15"/>
          <w:lang w:val="en-US" w:eastAsia="zh-CN"/>
        </w:rPr>
        <w:t>国家企业信用信息公示系统查询截图</w:t>
      </w:r>
      <w:r>
        <w:tab/>
      </w:r>
      <w:r>
        <w:fldChar w:fldCharType="begin"/>
      </w:r>
      <w:r>
        <w:instrText xml:space="preserve"> PAGEREF _Toc24167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黑体" w:hAnsi="黑体" w:eastAsia="黑体" w:cs="宋体"/>
          <w:szCs w:val="15"/>
          <w:lang w:val="en-US" w:eastAsia="zh-CN"/>
        </w:rPr>
        <w:t xml:space="preserve">4 </w:t>
      </w:r>
      <w:r>
        <w:rPr>
          <w:rFonts w:hint="eastAsia"/>
          <w:szCs w:val="15"/>
          <w:lang w:val="en-US" w:eastAsia="zh-CN"/>
        </w:rPr>
        <w:t>与南航合作合同（合同关键页）</w:t>
      </w:r>
      <w:r>
        <w:tab/>
      </w:r>
      <w:r>
        <w:fldChar w:fldCharType="begin"/>
      </w:r>
      <w:r>
        <w:instrText xml:space="preserve"> PAGEREF _Toc145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_Toc231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黑体" w:hAnsi="黑体" w:eastAsia="黑体" w:cs="宋体"/>
          <w:szCs w:val="15"/>
          <w:lang w:val="en-US" w:eastAsia="zh-CN"/>
        </w:rPr>
        <w:t xml:space="preserve">5 </w:t>
      </w:r>
      <w:r>
        <w:rPr>
          <w:rFonts w:hint="eastAsia"/>
          <w:szCs w:val="15"/>
          <w:lang w:val="en-US" w:eastAsia="zh-CN"/>
        </w:rPr>
        <w:t>相关项目经验证明（合同关键页）</w:t>
      </w:r>
      <w:r>
        <w:tab/>
      </w:r>
      <w:r>
        <w:fldChar w:fldCharType="begin"/>
      </w:r>
      <w:r>
        <w:instrText xml:space="preserve"> PAGEREF _Toc231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_Toc23065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黑体" w:hAnsi="黑体" w:eastAsia="黑体" w:cs="宋体"/>
          <w:szCs w:val="15"/>
          <w:lang w:val="en-US" w:eastAsia="zh-CN"/>
        </w:rPr>
        <w:t xml:space="preserve">6 </w:t>
      </w:r>
      <w:r>
        <w:rPr>
          <w:rFonts w:hint="eastAsia"/>
          <w:szCs w:val="15"/>
          <w:lang w:val="en-US" w:eastAsia="zh-CN"/>
        </w:rPr>
        <w:t>其他扫描件</w:t>
      </w:r>
      <w:r>
        <w:tab/>
      </w:r>
      <w:r>
        <w:fldChar w:fldCharType="begin"/>
      </w:r>
      <w:r>
        <w:instrText xml:space="preserve"> PAGEREF _Toc23065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_Toc21463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黑体" w:hAnsi="黑体" w:eastAsia="黑体" w:cs="宋体"/>
          <w:szCs w:val="15"/>
          <w:lang w:val="en-US" w:eastAsia="zh-CN"/>
        </w:rPr>
        <w:t xml:space="preserve">7 </w:t>
      </w:r>
      <w:r>
        <w:rPr>
          <w:rFonts w:hint="eastAsia"/>
          <w:szCs w:val="15"/>
          <w:lang w:val="en-US" w:eastAsia="zh-CN"/>
        </w:rPr>
        <w:t>供应商登记表</w:t>
      </w:r>
      <w:r>
        <w:tab/>
      </w:r>
      <w:r>
        <w:fldChar w:fldCharType="begin"/>
      </w:r>
      <w:r>
        <w:instrText xml:space="preserve"> PAGEREF _Toc21463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pStyle w:val="2"/>
        <w:ind w:left="142" w:leftChars="0" w:firstLine="0" w:firstLineChars="0"/>
        <w:rPr>
          <w:rFonts w:hint="eastAsia"/>
          <w:sz w:val="32"/>
          <w:szCs w:val="15"/>
          <w:lang w:val="en-US" w:eastAsia="zh-CN"/>
        </w:rPr>
      </w:pPr>
      <w:bookmarkStart w:id="0" w:name="_Toc32547"/>
      <w:bookmarkStart w:id="1" w:name="_Toc16700"/>
      <w:r>
        <w:rPr>
          <w:rFonts w:hint="eastAsia"/>
          <w:sz w:val="32"/>
          <w:szCs w:val="15"/>
          <w:lang w:val="en-US" w:eastAsia="zh-CN"/>
        </w:rPr>
        <w:t>供应商</w:t>
      </w:r>
      <w:bookmarkStart w:id="14" w:name="_GoBack"/>
      <w:r>
        <w:rPr>
          <w:rFonts w:hint="eastAsia"/>
          <w:sz w:val="32"/>
          <w:szCs w:val="15"/>
          <w:lang w:val="en-US" w:eastAsia="zh-CN"/>
        </w:rPr>
        <w:t>招募响应表</w:t>
      </w:r>
      <w:bookmarkEnd w:id="0"/>
      <w:bookmarkEnd w:id="1"/>
    </w:p>
    <w:bookmarkEnd w:id="14"/>
    <w:tbl>
      <w:tblPr>
        <w:tblStyle w:val="20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2552"/>
        <w:gridCol w:w="991"/>
        <w:gridCol w:w="1875"/>
        <w:gridCol w:w="1065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入库要求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是否满足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相关证明文件名称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证明文件页码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基本资格条件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（必填，固定项目，响应指标1）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具有独立承担民事责任的能力，需提供营业执照复印件；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具有良好的商业信誉和健全的财务会计制度；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具有履行合同所必需的设备和专业技术能力，参考文件相关设备、专利清单和合同证明；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有依法缴纳税收和社会保障资金的良好记录；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三年内，在经营活动中没有重大违法记录，需提供国家企业信用信息公示系统（http://www.gsxt.gov.cn/）相关查询截图，国外企业除外。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供应商基本要求（必须满足）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请将所招募项目的“响应指标2”填在此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必须获得ISO9000证书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ISO9000证书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必须***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供应商可选条件（加分项）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合作情况（参考项）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是否与南航有合作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合同名称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需提供合同关键页扫描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是否有相关项目经验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合同名称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需提供合同关键页扫描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/>
          <w:bCs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/>
          <w:bCs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/>
          <w:bCs/>
          <w:sz w:val="32"/>
          <w:szCs w:val="28"/>
          <w:lang w:val="en-US" w:eastAsia="zh-CN"/>
        </w:rPr>
      </w:pPr>
    </w:p>
    <w:p>
      <w:pPr>
        <w:pStyle w:val="2"/>
        <w:ind w:left="142" w:leftChars="0" w:firstLine="0" w:firstLineChars="0"/>
        <w:rPr>
          <w:rFonts w:hint="eastAsia"/>
          <w:sz w:val="32"/>
          <w:szCs w:val="15"/>
          <w:lang w:val="en-US" w:eastAsia="zh-CN"/>
        </w:rPr>
      </w:pPr>
      <w:bookmarkStart w:id="2" w:name="_Toc25932"/>
      <w:bookmarkStart w:id="3" w:name="_Toc412"/>
      <w:r>
        <w:rPr>
          <w:rFonts w:hint="eastAsia"/>
          <w:sz w:val="32"/>
          <w:szCs w:val="15"/>
          <w:lang w:val="en-US" w:eastAsia="zh-CN"/>
        </w:rPr>
        <w:t>营业执照（或所在国商事登记证）</w:t>
      </w:r>
      <w:bookmarkEnd w:id="2"/>
      <w:bookmarkEnd w:id="3"/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b/>
          <w:bCs/>
          <w:sz w:val="3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b/>
          <w:bCs/>
          <w:sz w:val="3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b/>
          <w:bCs/>
          <w:sz w:val="3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pStyle w:val="2"/>
        <w:ind w:left="142" w:leftChars="0" w:firstLine="0" w:firstLineChars="0"/>
        <w:rPr>
          <w:rFonts w:hint="eastAsia"/>
          <w:sz w:val="32"/>
          <w:szCs w:val="15"/>
          <w:lang w:val="en-US" w:eastAsia="zh-CN"/>
        </w:rPr>
      </w:pPr>
      <w:bookmarkStart w:id="4" w:name="_Toc14308"/>
      <w:bookmarkStart w:id="5" w:name="_Toc24167"/>
      <w:r>
        <w:rPr>
          <w:rFonts w:hint="eastAsia"/>
          <w:sz w:val="32"/>
          <w:szCs w:val="15"/>
          <w:lang w:val="en-US" w:eastAsia="zh-CN"/>
        </w:rPr>
        <w:t>国家企业信用信息公示系统查询截图</w:t>
      </w:r>
      <w:bookmarkEnd w:id="4"/>
      <w:bookmarkEnd w:id="5"/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5587365</wp:posOffset>
            </wp:positionV>
            <wp:extent cx="5268595" cy="2225675"/>
            <wp:effectExtent l="0" t="0" r="8255" b="3175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1333500</wp:posOffset>
            </wp:positionV>
            <wp:extent cx="5271770" cy="2279650"/>
            <wp:effectExtent l="0" t="0" r="5080" b="6350"/>
            <wp:wrapSquare wrapText="bothSides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pStyle w:val="2"/>
        <w:ind w:left="142" w:leftChars="0" w:firstLine="0" w:firstLineChars="0"/>
        <w:rPr>
          <w:rFonts w:hint="eastAsia"/>
          <w:sz w:val="32"/>
          <w:szCs w:val="15"/>
          <w:lang w:val="en-US" w:eastAsia="zh-CN"/>
        </w:rPr>
      </w:pPr>
      <w:bookmarkStart w:id="6" w:name="_Toc17123"/>
      <w:bookmarkStart w:id="7" w:name="_Toc145"/>
      <w:r>
        <w:rPr>
          <w:rFonts w:hint="eastAsia"/>
          <w:sz w:val="32"/>
          <w:szCs w:val="15"/>
          <w:lang w:val="en-US" w:eastAsia="zh-CN"/>
        </w:rPr>
        <w:t>与南航合作合同（合同关键页）</w:t>
      </w:r>
      <w:bookmarkEnd w:id="6"/>
      <w:bookmarkEnd w:id="7"/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28"/>
          <w:lang w:val="en-US" w:eastAsia="zh-CN" w:bidi="ar-SA"/>
        </w:rPr>
        <w:t>南航合作合同的首页和签字页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pStyle w:val="2"/>
        <w:ind w:left="142" w:leftChars="0" w:firstLine="0" w:firstLineChars="0"/>
        <w:rPr>
          <w:rFonts w:hint="eastAsia"/>
          <w:sz w:val="32"/>
          <w:szCs w:val="15"/>
          <w:lang w:val="en-US" w:eastAsia="zh-CN"/>
        </w:rPr>
      </w:pPr>
      <w:bookmarkStart w:id="8" w:name="_Toc231"/>
      <w:bookmarkStart w:id="9" w:name="_Toc30783"/>
      <w:r>
        <w:rPr>
          <w:rFonts w:hint="eastAsia"/>
          <w:sz w:val="32"/>
          <w:szCs w:val="15"/>
          <w:lang w:val="en-US" w:eastAsia="zh-CN"/>
        </w:rPr>
        <w:t>相关项目经验证明（合同关键页）</w:t>
      </w:r>
      <w:bookmarkEnd w:id="8"/>
      <w:bookmarkEnd w:id="9"/>
    </w:p>
    <w:p>
      <w:pPr>
        <w:pStyle w:val="2"/>
        <w:numPr>
          <w:ilvl w:val="0"/>
          <w:numId w:val="0"/>
        </w:numPr>
        <w:ind w:left="142" w:leftChars="0"/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与其他非南航单位的相关项目合作合同首页和签字页、内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  <w:t>容页等</w:t>
      </w: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</w:p>
    <w:p>
      <w:pPr>
        <w:pStyle w:val="2"/>
        <w:ind w:left="142" w:leftChars="0" w:firstLine="0" w:firstLineChars="0"/>
        <w:rPr>
          <w:rFonts w:hint="eastAsia"/>
          <w:sz w:val="32"/>
          <w:szCs w:val="15"/>
          <w:lang w:val="en-US" w:eastAsia="zh-CN"/>
        </w:rPr>
      </w:pPr>
      <w:bookmarkStart w:id="10" w:name="_Toc30995"/>
      <w:bookmarkStart w:id="11" w:name="_Toc23065"/>
      <w:r>
        <w:rPr>
          <w:rFonts w:hint="eastAsia"/>
          <w:sz w:val="32"/>
          <w:szCs w:val="15"/>
          <w:lang w:val="en-US" w:eastAsia="zh-CN"/>
        </w:rPr>
        <w:t>其他扫描件</w:t>
      </w:r>
      <w:bookmarkEnd w:id="10"/>
      <w:bookmarkEnd w:id="11"/>
      <w:r>
        <w:rPr>
          <w:rFonts w:hint="eastAsia"/>
          <w:sz w:val="32"/>
          <w:szCs w:val="15"/>
          <w:lang w:val="en-US" w:eastAsia="zh-CN"/>
        </w:rPr>
        <w:t>（资质证书、如ISO或生产许可证、其他奖项证书等）</w:t>
      </w: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pacing w:line="560" w:lineRule="exact"/>
        <w:jc w:val="both"/>
        <w:textAlignment w:val="baseline"/>
        <w:rPr>
          <w:rFonts w:hint="eastAsia"/>
          <w:lang w:val="en-US" w:eastAsia="zh-CN"/>
        </w:rPr>
      </w:pPr>
    </w:p>
    <w:p>
      <w:pPr>
        <w:pStyle w:val="2"/>
        <w:ind w:left="142" w:leftChars="0" w:firstLine="0" w:firstLineChars="0"/>
        <w:rPr>
          <w:rFonts w:hint="eastAsia"/>
          <w:sz w:val="32"/>
          <w:szCs w:val="15"/>
          <w:lang w:val="en-US" w:eastAsia="zh-CN"/>
        </w:rPr>
      </w:pPr>
      <w:bookmarkStart w:id="12" w:name="_Toc6650"/>
      <w:bookmarkStart w:id="13" w:name="_Toc21463"/>
      <w:r>
        <w:rPr>
          <w:rFonts w:hint="eastAsia"/>
          <w:sz w:val="32"/>
          <w:szCs w:val="15"/>
          <w:lang w:val="en-US" w:eastAsia="zh-CN"/>
        </w:rPr>
        <w:t>供应商登记表</w:t>
      </w:r>
      <w:bookmarkEnd w:id="12"/>
      <w:bookmarkEnd w:id="13"/>
    </w:p>
    <w:p>
      <w:pPr>
        <w:numPr>
          <w:ilvl w:val="0"/>
          <w:numId w:val="0"/>
        </w:numPr>
        <w:ind w:firstLine="320" w:firstLineChars="100"/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28"/>
          <w:lang w:val="en-US" w:eastAsia="zh-CN" w:bidi="ar-SA"/>
        </w:rPr>
        <w:t>登记表另附excel表格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acd wne:acdName="acd0"/>
    </wne:keymap>
  </wne:keymaps>
  <wne:acds>
    <wne:acd wne:argValue="AQAAAAE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0478"/>
    <w:multiLevelType w:val="multilevel"/>
    <w:tmpl w:val="5C330478"/>
    <w:lvl w:ilvl="0" w:tentative="0">
      <w:start w:val="1"/>
      <w:numFmt w:val="decimal"/>
      <w:pStyle w:val="2"/>
      <w:suff w:val="space"/>
      <w:lvlText w:val="%1 "/>
      <w:lvlJc w:val="left"/>
      <w:pPr>
        <w:tabs>
          <w:tab w:val="left" w:pos="0"/>
        </w:tabs>
        <w:ind w:left="142" w:firstLine="0"/>
      </w:pPr>
      <w:rPr>
        <w:rFonts w:hint="default" w:ascii="黑体" w:hAnsi="黑体" w:eastAsia="黑体" w:cs="宋体"/>
        <w:b/>
        <w:sz w:val="32"/>
      </w:rPr>
    </w:lvl>
    <w:lvl w:ilvl="1" w:tentative="0">
      <w:start w:val="1"/>
      <w:numFmt w:val="decimal"/>
      <w:pStyle w:val="3"/>
      <w:suff w:val="space"/>
      <w:lvlText w:val="%1.%2 "/>
      <w:lvlJc w:val="left"/>
      <w:pPr>
        <w:tabs>
          <w:tab w:val="left" w:pos="0"/>
        </w:tabs>
        <w:ind w:left="142" w:firstLine="0"/>
      </w:pPr>
      <w:rPr>
        <w:rFonts w:hint="default" w:ascii="黑体" w:hAnsi="黑体" w:eastAsia="黑体" w:cs="宋体"/>
        <w:b/>
        <w:sz w:val="21"/>
      </w:rPr>
    </w:lvl>
    <w:lvl w:ilvl="2" w:tentative="0">
      <w:start w:val="1"/>
      <w:numFmt w:val="decimal"/>
      <w:pStyle w:val="4"/>
      <w:isLgl/>
      <w:suff w:val="space"/>
      <w:lvlText w:val="%1.%2.%3 "/>
      <w:lvlJc w:val="left"/>
      <w:pPr>
        <w:ind w:left="142" w:firstLine="0"/>
      </w:pPr>
      <w:rPr>
        <w:rFonts w:hint="default" w:ascii="宋体" w:hAnsi="宋体" w:eastAsia="宋体" w:cs="宋体"/>
        <w:sz w:val="21"/>
      </w:rPr>
    </w:lvl>
    <w:lvl w:ilvl="3" w:tentative="0">
      <w:start w:val="1"/>
      <w:numFmt w:val="decimal"/>
      <w:pStyle w:val="5"/>
      <w:isLgl/>
      <w:suff w:val="space"/>
      <w:lvlText w:val="%1.%2.%3.%4 "/>
      <w:lvlJc w:val="left"/>
      <w:pPr>
        <w:ind w:left="142" w:firstLine="0"/>
      </w:pPr>
      <w:rPr>
        <w:rFonts w:hint="default" w:ascii="宋体" w:hAnsi="宋体" w:eastAsia="宋体" w:cs="宋体"/>
        <w:sz w:val="21"/>
      </w:rPr>
    </w:lvl>
    <w:lvl w:ilvl="4" w:tentative="0">
      <w:start w:val="1"/>
      <w:numFmt w:val="decimal"/>
      <w:pStyle w:val="6"/>
      <w:isLgl/>
      <w:suff w:val="space"/>
      <w:lvlText w:val="%1.%2.%3.%4.%5 "/>
      <w:lvlJc w:val="left"/>
      <w:pPr>
        <w:ind w:left="142" w:firstLine="0"/>
      </w:pPr>
      <w:rPr>
        <w:rFonts w:hint="default" w:ascii="宋体" w:hAnsi="宋体" w:eastAsia="宋体" w:cs="宋体"/>
        <w:sz w:val="21"/>
      </w:rPr>
    </w:lvl>
    <w:lvl w:ilvl="5" w:tentative="0">
      <w:start w:val="1"/>
      <w:numFmt w:val="decimal"/>
      <w:lvlText w:val="%1.%2.%3.%4.%5.%6 "/>
      <w:lvlJc w:val="left"/>
      <w:pPr>
        <w:ind w:left="142" w:firstLine="0"/>
      </w:pPr>
      <w:rPr>
        <w:rFonts w:hint="eastAsia" w:eastAsia="宋体"/>
        <w:b w:val="0"/>
        <w:i w:val="0"/>
        <w:sz w:val="21"/>
      </w:rPr>
    </w:lvl>
    <w:lvl w:ilvl="6" w:tentative="0">
      <w:start w:val="1"/>
      <w:numFmt w:val="decimal"/>
      <w:lvlText w:val="%1.%2.%3.%4.%5.%6.%7 "/>
      <w:lvlJc w:val="left"/>
      <w:pPr>
        <w:ind w:left="142" w:firstLine="0"/>
      </w:pPr>
      <w:rPr>
        <w:rFonts w:hint="eastAsia" w:eastAsia="宋体"/>
        <w:b w:val="0"/>
        <w:i w:val="0"/>
        <w:sz w:val="21"/>
      </w:rPr>
    </w:lvl>
    <w:lvl w:ilvl="7" w:tentative="0">
      <w:start w:val="1"/>
      <w:numFmt w:val="decimal"/>
      <w:lvlText w:val="%1.%2.%3.%4.%5.%6.%7.%8 "/>
      <w:lvlJc w:val="left"/>
      <w:pPr>
        <w:ind w:left="142" w:firstLine="0"/>
      </w:pPr>
      <w:rPr>
        <w:rFonts w:hint="eastAsia" w:eastAsia="宋体"/>
        <w:b w:val="0"/>
        <w:i w:val="0"/>
        <w:sz w:val="21"/>
      </w:rPr>
    </w:lvl>
    <w:lvl w:ilvl="8" w:tentative="0">
      <w:start w:val="1"/>
      <w:numFmt w:val="decimal"/>
      <w:lvlText w:val="%1.%2.%3.%4.%5.%6.%7.%8.%9 "/>
      <w:lvlJc w:val="left"/>
      <w:pPr>
        <w:ind w:left="142" w:firstLine="0"/>
      </w:pPr>
      <w:rPr>
        <w:rFonts w:hint="eastAsia" w:eastAsia="宋体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6479B"/>
    <w:rsid w:val="008B253F"/>
    <w:rsid w:val="07A52B30"/>
    <w:rsid w:val="07DB486E"/>
    <w:rsid w:val="089D7A5C"/>
    <w:rsid w:val="092239E7"/>
    <w:rsid w:val="12E1317C"/>
    <w:rsid w:val="13752467"/>
    <w:rsid w:val="1C253264"/>
    <w:rsid w:val="1CD073CA"/>
    <w:rsid w:val="21704FA6"/>
    <w:rsid w:val="217826EF"/>
    <w:rsid w:val="2A442B75"/>
    <w:rsid w:val="2D626514"/>
    <w:rsid w:val="3B4B7E96"/>
    <w:rsid w:val="44A156CD"/>
    <w:rsid w:val="46CD7F40"/>
    <w:rsid w:val="47A01EDE"/>
    <w:rsid w:val="49407569"/>
    <w:rsid w:val="4B5D5BA3"/>
    <w:rsid w:val="4EA9128C"/>
    <w:rsid w:val="4EF82859"/>
    <w:rsid w:val="525A5166"/>
    <w:rsid w:val="547C30F2"/>
    <w:rsid w:val="55A7508A"/>
    <w:rsid w:val="633E0532"/>
    <w:rsid w:val="75147A2C"/>
    <w:rsid w:val="760A571D"/>
    <w:rsid w:val="76F64B5D"/>
    <w:rsid w:val="77761F23"/>
    <w:rsid w:val="793F499E"/>
    <w:rsid w:val="7E26479B"/>
    <w:rsid w:val="7F9D3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宋体" w:hAnsi="宋体" w:eastAsia="宋体" w:cstheme="minorBidi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0"/>
        <w:tab w:val="clear" w:pos="0"/>
      </w:tabs>
      <w:spacing w:beforeLines="0" w:beforeAutospacing="0" w:afterLines="0" w:afterAutospacing="0" w:line="560" w:lineRule="exact"/>
      <w:ind w:left="142" w:firstLine="0" w:firstLineChars="0"/>
      <w:outlineLvl w:val="0"/>
    </w:pPr>
    <w:rPr>
      <w:rFonts w:ascii="Times New Roman" w:hAnsi="Times New Roman" w:eastAsia="黑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  <w:tab w:val="clear" w:pos="0"/>
      </w:tabs>
      <w:spacing w:before="260" w:beforeLines="0" w:beforeAutospacing="0" w:after="260" w:afterLines="0" w:afterAutospacing="0" w:line="413" w:lineRule="auto"/>
      <w:ind w:left="142" w:firstLine="0" w:firstLineChars="0"/>
      <w:jc w:val="left"/>
      <w:outlineLvl w:val="1"/>
    </w:pPr>
    <w:rPr>
      <w:rFonts w:ascii="黑体" w:hAnsi="黑体" w:eastAsia="黑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142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14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42"/>
      <w:outlineLvl w:val="4"/>
    </w:pPr>
    <w:rPr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next w:val="1"/>
    <w:qFormat/>
    <w:uiPriority w:val="0"/>
    <w:pPr>
      <w:ind w:left="105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8">
    <w:name w:val="annotation text"/>
    <w:basedOn w:val="1"/>
    <w:uiPriority w:val="0"/>
    <w:pPr>
      <w:jc w:val="left"/>
    </w:pPr>
  </w:style>
  <w:style w:type="paragraph" w:styleId="9">
    <w:name w:val="toc 5"/>
    <w:next w:val="1"/>
    <w:qFormat/>
    <w:uiPriority w:val="0"/>
    <w:pPr>
      <w:ind w:left="63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0">
    <w:name w:val="toc 3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1">
    <w:name w:val="toc 8"/>
    <w:next w:val="1"/>
    <w:qFormat/>
    <w:uiPriority w:val="0"/>
    <w:pPr>
      <w:ind w:left="126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toc 1"/>
    <w:next w:val="1"/>
    <w:qFormat/>
    <w:uiPriority w:val="0"/>
    <w:pPr>
      <w:spacing w:beforeLines="115"/>
      <w:jc w:val="left"/>
    </w:pPr>
    <w:rPr>
      <w:rFonts w:ascii="Times New Roman" w:hAnsi="Times New Roman" w:eastAsia="宋体" w:cs="Times New Roman"/>
      <w:b/>
      <w:bCs/>
      <w:caps/>
      <w:sz w:val="24"/>
    </w:rPr>
  </w:style>
  <w:style w:type="paragraph" w:styleId="15">
    <w:name w:val="toc 4"/>
    <w:next w:val="1"/>
    <w:qFormat/>
    <w:uiPriority w:val="0"/>
    <w:pPr>
      <w:ind w:left="42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6">
    <w:name w:val="toc 6"/>
    <w:next w:val="1"/>
    <w:qFormat/>
    <w:uiPriority w:val="0"/>
    <w:pPr>
      <w:ind w:left="84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7">
    <w:name w:val="toc 2"/>
    <w:next w:val="1"/>
    <w:qFormat/>
    <w:uiPriority w:val="0"/>
    <w:pPr>
      <w:spacing w:beforeLines="77"/>
      <w:jc w:val="left"/>
    </w:pPr>
    <w:rPr>
      <w:rFonts w:ascii="Times New Roman" w:hAnsi="Times New Roman" w:eastAsia="宋体" w:cs="Times New Roman"/>
      <w:b/>
      <w:bCs/>
      <w:sz w:val="20"/>
      <w:szCs w:val="20"/>
    </w:rPr>
  </w:style>
  <w:style w:type="paragraph" w:styleId="18">
    <w:name w:val="toc 9"/>
    <w:next w:val="1"/>
    <w:qFormat/>
    <w:uiPriority w:val="0"/>
    <w:pPr>
      <w:ind w:left="1470"/>
      <w:jc w:val="left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2019-01-07T05:41:00Z</dcterms:created>
  <dc:creator>张伟国</dc:creator>
  <cp:lastModifiedBy>张伟国</cp:lastModifiedBy>
  <dcterms:modified xsi:type="dcterms:W3CDTF">2019-01-07T10:34:23Z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